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FAC" w:rsidRDefault="00DB7FAC" w:rsidP="005167BA">
      <w:pPr>
        <w:pStyle w:val="Item"/>
        <w:widowControl/>
        <w:spacing w:before="0"/>
      </w:pPr>
      <w:bookmarkStart w:id="0" w:name="_GoBack"/>
      <w:bookmarkEnd w:id="0"/>
      <w:r>
        <w:rPr>
          <w:vanish/>
        </w:rPr>
        <w:t xml:space="preserve">Case Studies: Quality of Measurement, Questions, Data Handling, Practice, </w:t>
      </w:r>
      <w:r>
        <w:rPr>
          <w:rStyle w:val="KeyTerms"/>
          <w:vanish/>
        </w:rPr>
        <w:t>accuracy</w:t>
      </w:r>
      <w:r>
        <w:rPr>
          <w:vanish/>
        </w:rPr>
        <w:t xml:space="preserve">, </w:t>
      </w:r>
      <w:r>
        <w:rPr>
          <w:rStyle w:val="KeyTerms"/>
          <w:vanish/>
        </w:rPr>
        <w:t>uncertainty</w:t>
      </w:r>
      <w:r>
        <w:rPr>
          <w:vanish/>
        </w:rPr>
        <w:t xml:space="preserve">, </w:t>
      </w:r>
      <w:bookmarkStart w:id="1" w:name="100004"/>
      <w:bookmarkEnd w:id="1"/>
      <w:r w:rsidR="00630CCE">
        <w:t xml:space="preserve">Calculating with </w:t>
      </w:r>
      <w:r w:rsidR="00630CCE" w:rsidRPr="00630CCE">
        <w:t>U</w:t>
      </w:r>
      <w:r w:rsidR="00630CCE">
        <w:t>ncertainties</w:t>
      </w:r>
    </w:p>
    <w:tbl>
      <w:tblPr>
        <w:tblW w:w="5000" w:type="pct"/>
        <w:tblLook w:val="0000" w:firstRow="0" w:lastRow="0" w:firstColumn="0" w:lastColumn="0" w:noHBand="0" w:noVBand="0"/>
      </w:tblPr>
      <w:tblGrid>
        <w:gridCol w:w="5210"/>
        <w:gridCol w:w="5210"/>
      </w:tblGrid>
      <w:tr w:rsidR="00DB7FAC">
        <w:tblPrEx>
          <w:tblCellMar>
            <w:top w:w="0" w:type="dxa"/>
            <w:bottom w:w="0" w:type="dxa"/>
          </w:tblCellMar>
        </w:tblPrEx>
        <w:tc>
          <w:tcPr>
            <w:tcW w:w="2500" w:type="pct"/>
            <w:tcBorders>
              <w:top w:val="nil"/>
              <w:left w:val="nil"/>
              <w:bottom w:val="nil"/>
              <w:right w:val="nil"/>
            </w:tcBorders>
          </w:tcPr>
          <w:p w:rsidR="00DB7FAC" w:rsidRDefault="00DB7FAC" w:rsidP="005167BA">
            <w:pPr>
              <w:pStyle w:val="TechnicalCode"/>
              <w:widowControl/>
              <w:jc w:val="left"/>
            </w:pPr>
          </w:p>
        </w:tc>
        <w:tc>
          <w:tcPr>
            <w:tcW w:w="2500" w:type="pct"/>
            <w:tcBorders>
              <w:top w:val="nil"/>
              <w:left w:val="nil"/>
              <w:bottom w:val="nil"/>
              <w:right w:val="nil"/>
            </w:tcBorders>
          </w:tcPr>
          <w:p w:rsidR="00DB7FAC" w:rsidRDefault="00DB7FAC" w:rsidP="005167BA">
            <w:pPr>
              <w:pStyle w:val="TechnicalCode"/>
              <w:widowControl/>
            </w:pPr>
          </w:p>
        </w:tc>
      </w:tr>
    </w:tbl>
    <w:p w:rsidR="00DB7FAC" w:rsidRDefault="00DB7FAC" w:rsidP="005167BA">
      <w:pPr>
        <w:widowControl/>
        <w:rPr>
          <w:color w:val="000000"/>
        </w:rPr>
      </w:pPr>
      <w:r>
        <w:rPr>
          <w:color w:val="000000"/>
        </w:rPr>
        <w:t>Very often, the best way to improve a measurement is to identify the largest source of uncertainty, and take steps to reduce that uncertainty. Thus we have chosen to limit the analysis of uncertainties of measurement to:</w:t>
      </w:r>
    </w:p>
    <w:p w:rsidR="005167BA" w:rsidRPr="005167BA" w:rsidRDefault="005167BA" w:rsidP="005167BA">
      <w:pPr>
        <w:widowControl/>
        <w:tabs>
          <w:tab w:val="left" w:pos="360"/>
        </w:tabs>
        <w:ind w:left="360" w:hanging="360"/>
        <w:rPr>
          <w:rFonts w:ascii="Symbol" w:hAnsi="Symbol" w:cs="Symbol"/>
          <w:color w:val="000000"/>
          <w:sz w:val="10"/>
        </w:rPr>
      </w:pPr>
    </w:p>
    <w:p w:rsidR="00DB7FAC" w:rsidRDefault="00DB7FAC" w:rsidP="005167BA">
      <w:pPr>
        <w:widowControl/>
        <w:tabs>
          <w:tab w:val="left" w:pos="360"/>
        </w:tabs>
        <w:ind w:left="360" w:hanging="360"/>
        <w:rPr>
          <w:color w:val="000000"/>
        </w:rPr>
      </w:pPr>
      <w:r>
        <w:rPr>
          <w:rFonts w:ascii="Symbol" w:hAnsi="Symbol" w:cs="Symbol"/>
          <w:color w:val="000000"/>
        </w:rPr>
        <w:t></w:t>
      </w:r>
      <w:r>
        <w:rPr>
          <w:rFonts w:ascii="Symbol" w:hAnsi="Symbol" w:cs="Symbol"/>
          <w:color w:val="000000"/>
        </w:rPr>
        <w:tab/>
      </w:r>
      <w:r>
        <w:rPr>
          <w:color w:val="000000"/>
        </w:rPr>
        <w:t xml:space="preserve">identifying and estimating the most important source of uncertainty in a measurement. </w:t>
      </w:r>
    </w:p>
    <w:p w:rsidR="005167BA" w:rsidRPr="005167BA" w:rsidRDefault="005167BA" w:rsidP="005167BA">
      <w:pPr>
        <w:widowControl/>
        <w:tabs>
          <w:tab w:val="left" w:pos="360"/>
        </w:tabs>
        <w:ind w:left="360" w:hanging="360"/>
        <w:rPr>
          <w:color w:val="000000"/>
          <w:sz w:val="10"/>
        </w:rPr>
      </w:pPr>
    </w:p>
    <w:p w:rsidR="00DB7FAC" w:rsidRDefault="005167BA" w:rsidP="005167BA">
      <w:pPr>
        <w:widowControl/>
        <w:tabs>
          <w:tab w:val="left" w:pos="360"/>
        </w:tabs>
        <w:ind w:left="360" w:hanging="360"/>
        <w:rPr>
          <w:color w:val="000000"/>
        </w:rPr>
      </w:pPr>
      <w:r>
        <w:rPr>
          <w:color w:val="000000"/>
        </w:rPr>
        <w:tab/>
      </w:r>
      <w:r w:rsidR="00DB7FAC">
        <w:rPr>
          <w:color w:val="000000"/>
        </w:rPr>
        <w:t>This can be estimated in several ways:</w:t>
      </w:r>
    </w:p>
    <w:p w:rsidR="005167BA" w:rsidRPr="005167BA" w:rsidRDefault="005167BA" w:rsidP="005167BA">
      <w:pPr>
        <w:widowControl/>
        <w:tabs>
          <w:tab w:val="left" w:pos="360"/>
        </w:tabs>
        <w:ind w:left="360" w:hanging="360"/>
        <w:rPr>
          <w:color w:val="000000"/>
          <w:sz w:val="10"/>
        </w:rPr>
      </w:pPr>
    </w:p>
    <w:p w:rsidR="00DB7FAC" w:rsidRDefault="00DB7FAC" w:rsidP="005167BA">
      <w:pPr>
        <w:widowControl/>
        <w:tabs>
          <w:tab w:val="left" w:pos="360"/>
        </w:tabs>
        <w:ind w:left="360" w:hanging="360"/>
        <w:rPr>
          <w:color w:val="000000"/>
        </w:rPr>
      </w:pPr>
      <w:r>
        <w:rPr>
          <w:rFonts w:ascii="Symbol" w:hAnsi="Symbol" w:cs="Symbol"/>
          <w:color w:val="000000"/>
        </w:rPr>
        <w:t></w:t>
      </w:r>
      <w:r>
        <w:rPr>
          <w:rFonts w:ascii="Symbol" w:hAnsi="Symbol" w:cs="Symbol"/>
          <w:color w:val="000000"/>
        </w:rPr>
        <w:tab/>
      </w:r>
      <w:r>
        <w:rPr>
          <w:color w:val="000000"/>
        </w:rPr>
        <w:t xml:space="preserve">from the resolution of the instrument concerned; for example, the readout of a digital instrument ought not to be trusted to better than plus or minus 0.5 of the last digit </w:t>
      </w:r>
    </w:p>
    <w:p w:rsidR="00DB7FAC" w:rsidRDefault="00DB7FAC" w:rsidP="005167BA">
      <w:pPr>
        <w:widowControl/>
        <w:tabs>
          <w:tab w:val="left" w:pos="360"/>
        </w:tabs>
        <w:ind w:left="360" w:hanging="360"/>
        <w:rPr>
          <w:color w:val="000000"/>
        </w:rPr>
      </w:pPr>
      <w:r>
        <w:rPr>
          <w:rFonts w:ascii="Symbol" w:hAnsi="Symbol" w:cs="Symbol"/>
          <w:color w:val="000000"/>
        </w:rPr>
        <w:t></w:t>
      </w:r>
      <w:r>
        <w:rPr>
          <w:rFonts w:ascii="Symbol" w:hAnsi="Symbol" w:cs="Symbol"/>
          <w:color w:val="000000"/>
        </w:rPr>
        <w:tab/>
      </w:r>
      <w:r>
        <w:rPr>
          <w:color w:val="000000"/>
        </w:rPr>
        <w:t xml:space="preserve">from the stability of the instrument, or by making deliberate small changes in conditions (a light tap on the bench, maybe) that might anyway occur, to see what difference they make </w:t>
      </w:r>
    </w:p>
    <w:p w:rsidR="00DB7FAC" w:rsidRDefault="00DB7FAC" w:rsidP="005167BA">
      <w:pPr>
        <w:widowControl/>
        <w:tabs>
          <w:tab w:val="left" w:pos="360"/>
        </w:tabs>
        <w:ind w:left="360" w:hanging="360"/>
        <w:rPr>
          <w:color w:val="000000"/>
        </w:rPr>
      </w:pPr>
      <w:r>
        <w:rPr>
          <w:rFonts w:ascii="Symbol" w:hAnsi="Symbol" w:cs="Symbol"/>
          <w:color w:val="000000"/>
        </w:rPr>
        <w:t></w:t>
      </w:r>
      <w:r>
        <w:rPr>
          <w:rFonts w:ascii="Symbol" w:hAnsi="Symbol" w:cs="Symbol"/>
          <w:color w:val="000000"/>
        </w:rPr>
        <w:tab/>
      </w:r>
      <w:r>
        <w:rPr>
          <w:color w:val="000000"/>
        </w:rPr>
        <w:t>from the range of a few repeated measurements.</w:t>
      </w:r>
    </w:p>
    <w:p w:rsidR="005167BA" w:rsidRPr="005167BA" w:rsidRDefault="005167BA" w:rsidP="005167BA">
      <w:pPr>
        <w:pStyle w:val="Parahead"/>
        <w:widowControl/>
        <w:tabs>
          <w:tab w:val="left" w:pos="360"/>
        </w:tabs>
        <w:spacing w:before="0"/>
        <w:ind w:left="360" w:hanging="360"/>
        <w:rPr>
          <w:sz w:val="10"/>
        </w:rPr>
      </w:pPr>
    </w:p>
    <w:p w:rsidR="00DB7FAC" w:rsidRDefault="00DB7FAC" w:rsidP="005167BA">
      <w:pPr>
        <w:pStyle w:val="Parahead"/>
        <w:widowControl/>
        <w:tabs>
          <w:tab w:val="left" w:pos="360"/>
        </w:tabs>
        <w:spacing w:before="0"/>
        <w:ind w:left="360" w:hanging="360"/>
      </w:pPr>
      <w:r>
        <w:t>What is the uncertainty of the result?</w:t>
      </w:r>
    </w:p>
    <w:p w:rsidR="005167BA" w:rsidRPr="005167BA" w:rsidRDefault="005167BA" w:rsidP="005167BA">
      <w:pPr>
        <w:widowControl/>
        <w:tabs>
          <w:tab w:val="left" w:pos="360"/>
        </w:tabs>
        <w:rPr>
          <w:color w:val="000000"/>
          <w:sz w:val="10"/>
        </w:rPr>
      </w:pPr>
    </w:p>
    <w:p w:rsidR="00DB7FAC" w:rsidRDefault="00DB7FAC" w:rsidP="005167BA">
      <w:pPr>
        <w:widowControl/>
        <w:tabs>
          <w:tab w:val="left" w:pos="360"/>
        </w:tabs>
        <w:rPr>
          <w:color w:val="000000"/>
        </w:rPr>
      </w:pPr>
      <w:r>
        <w:rPr>
          <w:color w:val="000000"/>
        </w:rPr>
        <w:t xml:space="preserve">In each question you should: </w:t>
      </w:r>
    </w:p>
    <w:p w:rsidR="00DB7FAC" w:rsidRDefault="00DB7FAC" w:rsidP="005167BA">
      <w:pPr>
        <w:widowControl/>
        <w:tabs>
          <w:tab w:val="left" w:pos="360"/>
        </w:tabs>
        <w:ind w:left="360" w:hanging="360"/>
        <w:rPr>
          <w:color w:val="000000"/>
        </w:rPr>
      </w:pPr>
      <w:r>
        <w:rPr>
          <w:rFonts w:ascii="Symbol" w:hAnsi="Symbol" w:cs="Symbol"/>
          <w:color w:val="000000"/>
        </w:rPr>
        <w:t></w:t>
      </w:r>
      <w:r>
        <w:rPr>
          <w:rFonts w:ascii="Symbol" w:hAnsi="Symbol" w:cs="Symbol"/>
          <w:color w:val="000000"/>
        </w:rPr>
        <w:tab/>
      </w:r>
      <w:r>
        <w:rPr>
          <w:color w:val="000000"/>
        </w:rPr>
        <w:t>determine the largest percentage uncertainty in the data given</w:t>
      </w:r>
    </w:p>
    <w:p w:rsidR="00DB7FAC" w:rsidRDefault="00DB7FAC" w:rsidP="005167BA">
      <w:pPr>
        <w:widowControl/>
        <w:tabs>
          <w:tab w:val="left" w:pos="360"/>
        </w:tabs>
        <w:ind w:left="360" w:hanging="360"/>
        <w:rPr>
          <w:color w:val="000000"/>
        </w:rPr>
      </w:pPr>
      <w:r>
        <w:rPr>
          <w:rFonts w:ascii="Symbol" w:hAnsi="Symbol" w:cs="Symbol"/>
          <w:color w:val="000000"/>
        </w:rPr>
        <w:t></w:t>
      </w:r>
      <w:r>
        <w:rPr>
          <w:rFonts w:ascii="Symbol" w:hAnsi="Symbol" w:cs="Symbol"/>
          <w:color w:val="000000"/>
        </w:rPr>
        <w:tab/>
      </w:r>
      <w:r>
        <w:rPr>
          <w:color w:val="000000"/>
        </w:rPr>
        <w:t>calculate a final result, giving it to a sensible number of significant figures</w:t>
      </w:r>
    </w:p>
    <w:p w:rsidR="00DB7FAC" w:rsidRDefault="00DB7FAC" w:rsidP="005167BA">
      <w:pPr>
        <w:widowControl/>
        <w:tabs>
          <w:tab w:val="left" w:pos="360"/>
        </w:tabs>
        <w:ind w:left="360" w:hanging="360"/>
        <w:rPr>
          <w:color w:val="000000"/>
        </w:rPr>
      </w:pPr>
      <w:r>
        <w:rPr>
          <w:rFonts w:ascii="Symbol" w:hAnsi="Symbol" w:cs="Symbol"/>
          <w:color w:val="000000"/>
        </w:rPr>
        <w:t></w:t>
      </w:r>
      <w:r>
        <w:rPr>
          <w:rFonts w:ascii="Symbol" w:hAnsi="Symbol" w:cs="Symbol"/>
          <w:color w:val="000000"/>
        </w:rPr>
        <w:tab/>
      </w:r>
      <w:r>
        <w:rPr>
          <w:color w:val="000000"/>
        </w:rPr>
        <w:t xml:space="preserve">give an estimate of the overall uncertainty, expressed as an absolute value and as a percentage. </w:t>
      </w:r>
    </w:p>
    <w:p w:rsidR="005167BA" w:rsidRDefault="005167BA" w:rsidP="005167BA">
      <w:pPr>
        <w:widowControl/>
        <w:tabs>
          <w:tab w:val="left" w:pos="360"/>
        </w:tabs>
        <w:ind w:left="360" w:hanging="360"/>
        <w:rPr>
          <w:color w:val="000000"/>
        </w:rPr>
      </w:pPr>
      <w:r>
        <w:rPr>
          <w:color w:val="000000"/>
        </w:rPr>
        <w:t xml:space="preserve">    </w:t>
      </w:r>
    </w:p>
    <w:p w:rsidR="005167BA" w:rsidRDefault="00DB7FAC" w:rsidP="005167BA">
      <w:pPr>
        <w:widowControl/>
        <w:tabs>
          <w:tab w:val="left" w:pos="360"/>
        </w:tabs>
        <w:ind w:left="360" w:hanging="360"/>
        <w:rPr>
          <w:color w:val="000000"/>
        </w:rPr>
      </w:pPr>
      <w:r>
        <w:rPr>
          <w:color w:val="000000"/>
        </w:rPr>
        <w:t>In estimating uncertainties:</w:t>
      </w:r>
    </w:p>
    <w:p w:rsidR="00DB7FAC" w:rsidRDefault="00DB7FAC" w:rsidP="005167BA">
      <w:pPr>
        <w:widowControl/>
        <w:tabs>
          <w:tab w:val="left" w:pos="360"/>
        </w:tabs>
        <w:ind w:left="360" w:hanging="360"/>
        <w:rPr>
          <w:color w:val="000000"/>
        </w:rPr>
      </w:pPr>
      <w:r>
        <w:rPr>
          <w:rFonts w:ascii="Symbol" w:hAnsi="Symbol" w:cs="Symbol"/>
          <w:color w:val="000000"/>
        </w:rPr>
        <w:t></w:t>
      </w:r>
      <w:r>
        <w:rPr>
          <w:rFonts w:ascii="Symbol" w:hAnsi="Symbol" w:cs="Symbol"/>
          <w:color w:val="000000"/>
        </w:rPr>
        <w:tab/>
      </w:r>
      <w:r>
        <w:rPr>
          <w:color w:val="000000"/>
        </w:rPr>
        <w:t>use common sense to think about handling uncertainty</w:t>
      </w:r>
    </w:p>
    <w:p w:rsidR="00DB7FAC" w:rsidRDefault="00DB7FAC" w:rsidP="005167BA">
      <w:pPr>
        <w:widowControl/>
        <w:tabs>
          <w:tab w:val="left" w:pos="360"/>
        </w:tabs>
        <w:ind w:left="360" w:hanging="360"/>
        <w:rPr>
          <w:color w:val="000000"/>
        </w:rPr>
      </w:pPr>
      <w:r>
        <w:rPr>
          <w:rFonts w:ascii="Symbol" w:hAnsi="Symbol" w:cs="Symbol"/>
          <w:color w:val="000000"/>
        </w:rPr>
        <w:t></w:t>
      </w:r>
      <w:r>
        <w:rPr>
          <w:rFonts w:ascii="Symbol" w:hAnsi="Symbol" w:cs="Symbol"/>
          <w:color w:val="000000"/>
        </w:rPr>
        <w:tab/>
      </w:r>
      <w:r>
        <w:rPr>
          <w:color w:val="000000"/>
        </w:rPr>
        <w:t>always err on the cautious side: round uncertainty estimates up, not down</w:t>
      </w:r>
    </w:p>
    <w:p w:rsidR="00DB7FAC" w:rsidRDefault="00DB7FAC" w:rsidP="005167BA">
      <w:pPr>
        <w:widowControl/>
        <w:tabs>
          <w:tab w:val="left" w:pos="360"/>
        </w:tabs>
        <w:ind w:left="360" w:hanging="360"/>
        <w:rPr>
          <w:color w:val="000000"/>
        </w:rPr>
      </w:pPr>
      <w:r>
        <w:rPr>
          <w:rFonts w:ascii="Symbol" w:hAnsi="Symbol" w:cs="Symbol"/>
          <w:color w:val="000000"/>
        </w:rPr>
        <w:t></w:t>
      </w:r>
      <w:r>
        <w:rPr>
          <w:rFonts w:ascii="Symbol" w:hAnsi="Symbol" w:cs="Symbol"/>
          <w:color w:val="000000"/>
        </w:rPr>
        <w:tab/>
      </w:r>
      <w:r>
        <w:rPr>
          <w:color w:val="000000"/>
        </w:rPr>
        <w:t>do not automatically add up percentage uncertainties; this would only be right if variations in one quantity were related to variations in another</w:t>
      </w:r>
    </w:p>
    <w:p w:rsidR="00DB7FAC" w:rsidRDefault="00DB7FAC" w:rsidP="005167BA">
      <w:pPr>
        <w:widowControl/>
        <w:tabs>
          <w:tab w:val="left" w:pos="360"/>
        </w:tabs>
        <w:ind w:left="360" w:hanging="360"/>
        <w:rPr>
          <w:color w:val="000000"/>
        </w:rPr>
      </w:pPr>
      <w:r>
        <w:rPr>
          <w:rFonts w:ascii="Symbol" w:hAnsi="Symbol" w:cs="Symbol"/>
          <w:color w:val="000000"/>
        </w:rPr>
        <w:t></w:t>
      </w:r>
      <w:r>
        <w:rPr>
          <w:rFonts w:ascii="Symbol" w:hAnsi="Symbol" w:cs="Symbol"/>
          <w:color w:val="000000"/>
        </w:rPr>
        <w:tab/>
      </w:r>
      <w:r>
        <w:rPr>
          <w:color w:val="000000"/>
        </w:rPr>
        <w:t>remember that uncertainty estimates are themselves very uncertain: always estimate them to one significant figure.</w:t>
      </w:r>
    </w:p>
    <w:p w:rsidR="005167BA" w:rsidRPr="005167BA" w:rsidRDefault="005167BA" w:rsidP="005167BA">
      <w:pPr>
        <w:widowControl/>
        <w:tabs>
          <w:tab w:val="left" w:pos="360"/>
        </w:tabs>
        <w:rPr>
          <w:color w:val="000000"/>
          <w:sz w:val="10"/>
        </w:rPr>
      </w:pPr>
    </w:p>
    <w:p w:rsidR="00DB7FAC" w:rsidRDefault="00DB7FAC" w:rsidP="005167BA">
      <w:pPr>
        <w:widowControl/>
        <w:tabs>
          <w:tab w:val="left" w:pos="360"/>
        </w:tabs>
        <w:rPr>
          <w:color w:val="000000"/>
        </w:rPr>
      </w:pPr>
      <w:r>
        <w:rPr>
          <w:color w:val="000000"/>
        </w:rPr>
        <w:t>Consult your formula sheet for the relationships required and for the meaning of symbols.</w:t>
      </w:r>
    </w:p>
    <w:p w:rsidR="005167BA" w:rsidRDefault="005167BA" w:rsidP="005167BA">
      <w:pPr>
        <w:widowControl/>
        <w:tabs>
          <w:tab w:val="left" w:pos="360"/>
        </w:tabs>
        <w:ind w:left="360" w:hanging="360"/>
        <w:rPr>
          <w:color w:val="000000"/>
        </w:rPr>
      </w:pPr>
    </w:p>
    <w:p w:rsidR="00DB7FAC" w:rsidRDefault="00DB7FAC" w:rsidP="005167BA">
      <w:pPr>
        <w:widowControl/>
        <w:tabs>
          <w:tab w:val="left" w:pos="360"/>
        </w:tabs>
        <w:ind w:left="360" w:hanging="360"/>
        <w:rPr>
          <w:color w:val="000000"/>
        </w:rPr>
      </w:pPr>
      <w:r>
        <w:rPr>
          <w:color w:val="000000"/>
        </w:rPr>
        <w:t>1.</w:t>
      </w:r>
      <w:r>
        <w:rPr>
          <w:color w:val="000000"/>
        </w:rPr>
        <w:tab/>
        <w:t>In measuring the Young modulus of a rubber band in its initial region of linear strain, the following measurements were taken.</w:t>
      </w:r>
    </w:p>
    <w:p w:rsidR="005167BA" w:rsidRDefault="005167BA" w:rsidP="005167BA">
      <w:pPr>
        <w:widowControl/>
        <w:tabs>
          <w:tab w:val="left" w:pos="360"/>
        </w:tabs>
        <w:ind w:left="360"/>
        <w:rPr>
          <w:i/>
          <w:iCs/>
          <w:color w:val="000000"/>
        </w:rPr>
      </w:pPr>
    </w:p>
    <w:p w:rsidR="00DB7FAC" w:rsidRDefault="00DB7FAC" w:rsidP="005167BA">
      <w:pPr>
        <w:widowControl/>
        <w:tabs>
          <w:tab w:val="left" w:pos="360"/>
        </w:tabs>
        <w:ind w:left="360"/>
        <w:rPr>
          <w:color w:val="000000"/>
        </w:rPr>
      </w:pPr>
      <w:r>
        <w:rPr>
          <w:i/>
          <w:iCs/>
          <w:color w:val="000000"/>
        </w:rPr>
        <w:t xml:space="preserve">F </w:t>
      </w:r>
      <w:r w:rsidR="005167BA">
        <w:rPr>
          <w:color w:val="000000"/>
        </w:rPr>
        <w:t xml:space="preserve">= 0.5 N ± 1%     </w:t>
      </w:r>
      <w:r>
        <w:rPr>
          <w:i/>
          <w:iCs/>
          <w:color w:val="000000"/>
        </w:rPr>
        <w:t xml:space="preserve">A </w:t>
      </w:r>
      <w:r>
        <w:rPr>
          <w:color w:val="000000"/>
        </w:rPr>
        <w:t>= 4.0 mm</w:t>
      </w:r>
      <w:r>
        <w:rPr>
          <w:color w:val="000000"/>
          <w:position w:val="6"/>
          <w:sz w:val="16"/>
          <w:szCs w:val="16"/>
        </w:rPr>
        <w:t xml:space="preserve">2 </w:t>
      </w:r>
      <w:r w:rsidR="005167BA">
        <w:rPr>
          <w:color w:val="000000"/>
        </w:rPr>
        <w:t xml:space="preserve">± 3%     </w:t>
      </w:r>
      <w:r>
        <w:rPr>
          <w:i/>
          <w:iCs/>
          <w:color w:val="000000"/>
        </w:rPr>
        <w:t xml:space="preserve">x </w:t>
      </w:r>
      <w:r w:rsidR="005167BA">
        <w:rPr>
          <w:color w:val="000000"/>
        </w:rPr>
        <w:t xml:space="preserve">= 0.0080 ± 0.0005 m    </w:t>
      </w:r>
      <w:r>
        <w:rPr>
          <w:i/>
          <w:iCs/>
          <w:color w:val="000000"/>
        </w:rPr>
        <w:t xml:space="preserve">L </w:t>
      </w:r>
      <w:r>
        <w:rPr>
          <w:color w:val="000000"/>
        </w:rPr>
        <w:t>= 0.1450 ± 0.0005 m</w:t>
      </w:r>
    </w:p>
    <w:p w:rsidR="005167BA" w:rsidRDefault="005167BA" w:rsidP="005167BA">
      <w:pPr>
        <w:widowControl/>
        <w:tabs>
          <w:tab w:val="left" w:pos="360"/>
        </w:tabs>
        <w:ind w:left="360"/>
        <w:rPr>
          <w:color w:val="000000"/>
        </w:rPr>
      </w:pPr>
    </w:p>
    <w:p w:rsidR="00DB7FAC" w:rsidRDefault="00DB7FAC" w:rsidP="005167BA">
      <w:pPr>
        <w:widowControl/>
        <w:tabs>
          <w:tab w:val="left" w:pos="360"/>
        </w:tabs>
        <w:ind w:left="360"/>
        <w:rPr>
          <w:color w:val="000000"/>
        </w:rPr>
      </w:pPr>
      <w:r>
        <w:rPr>
          <w:color w:val="000000"/>
        </w:rPr>
        <w:t>Calculate the Young modulus and its uncertainty.</w:t>
      </w:r>
    </w:p>
    <w:p w:rsidR="005167BA" w:rsidRPr="005167BA" w:rsidRDefault="005167BA" w:rsidP="005167BA">
      <w:pPr>
        <w:widowControl/>
        <w:tabs>
          <w:tab w:val="left" w:pos="360"/>
        </w:tabs>
        <w:ind w:left="360"/>
        <w:rPr>
          <w:sz w:val="14"/>
          <w:szCs w:val="24"/>
        </w:rPr>
      </w:pPr>
    </w:p>
    <w:p w:rsidR="00DB7FAC" w:rsidRPr="005167BA" w:rsidRDefault="005167BA" w:rsidP="005167BA">
      <w:pPr>
        <w:widowControl/>
        <w:ind w:left="426" w:hanging="426"/>
        <w:rPr>
          <w:color w:val="000000"/>
        </w:rPr>
      </w:pPr>
      <w:r>
        <w:rPr>
          <w:color w:val="000000"/>
        </w:rPr>
        <w:t xml:space="preserve">2.   </w:t>
      </w:r>
      <w:r w:rsidR="00DB7FAC">
        <w:rPr>
          <w:color w:val="000000"/>
        </w:rPr>
        <w:t>To measure the breaking stress and breaking strain in copper wire, the following</w:t>
      </w:r>
      <w:r>
        <w:rPr>
          <w:color w:val="000000"/>
        </w:rPr>
        <w:t xml:space="preserve"> measurements were taken at the </w:t>
      </w:r>
      <w:r w:rsidR="00DB7FAC">
        <w:rPr>
          <w:color w:val="000000"/>
        </w:rPr>
        <w:t>breaking point.</w:t>
      </w:r>
    </w:p>
    <w:p w:rsidR="005167BA" w:rsidRPr="005167BA" w:rsidRDefault="005167BA" w:rsidP="005167BA">
      <w:pPr>
        <w:widowControl/>
        <w:ind w:firstLine="360"/>
        <w:rPr>
          <w:i/>
          <w:iCs/>
          <w:color w:val="000000"/>
          <w:sz w:val="16"/>
        </w:rPr>
      </w:pPr>
    </w:p>
    <w:p w:rsidR="00DB7FAC" w:rsidRDefault="00DB7FAC" w:rsidP="005167BA">
      <w:pPr>
        <w:widowControl/>
        <w:ind w:firstLine="360"/>
        <w:rPr>
          <w:color w:val="000000"/>
        </w:rPr>
      </w:pPr>
      <w:r>
        <w:rPr>
          <w:i/>
          <w:iCs/>
          <w:color w:val="000000"/>
        </w:rPr>
        <w:t xml:space="preserve">F </w:t>
      </w:r>
      <w:r w:rsidR="005167BA">
        <w:rPr>
          <w:color w:val="000000"/>
        </w:rPr>
        <w:t xml:space="preserve">= 11.5 N ± 1%     </w:t>
      </w:r>
      <w:r>
        <w:rPr>
          <w:i/>
          <w:iCs/>
          <w:color w:val="000000"/>
        </w:rPr>
        <w:t xml:space="preserve">d </w:t>
      </w:r>
      <w:r w:rsidR="005167BA">
        <w:rPr>
          <w:color w:val="000000"/>
        </w:rPr>
        <w:t xml:space="preserve">= 0.31 ± 0.01 mm   </w:t>
      </w:r>
      <w:r>
        <w:rPr>
          <w:i/>
          <w:iCs/>
          <w:color w:val="000000"/>
        </w:rPr>
        <w:t xml:space="preserve">x </w:t>
      </w:r>
      <w:r w:rsidR="005167BA">
        <w:rPr>
          <w:color w:val="000000"/>
        </w:rPr>
        <w:t xml:space="preserve">= 0.655 ± 0.002 m   </w:t>
      </w:r>
      <w:r>
        <w:rPr>
          <w:i/>
          <w:iCs/>
          <w:color w:val="000000"/>
        </w:rPr>
        <w:t xml:space="preserve">L </w:t>
      </w:r>
      <w:r>
        <w:rPr>
          <w:color w:val="000000"/>
        </w:rPr>
        <w:t>= 1.500 ± 0.002 m</w:t>
      </w:r>
    </w:p>
    <w:p w:rsidR="005167BA" w:rsidRPr="005167BA" w:rsidRDefault="005167BA" w:rsidP="005167BA">
      <w:pPr>
        <w:widowControl/>
        <w:rPr>
          <w:color w:val="000000"/>
          <w:sz w:val="16"/>
        </w:rPr>
      </w:pPr>
      <w:r w:rsidRPr="005167BA">
        <w:rPr>
          <w:color w:val="000000"/>
          <w:sz w:val="16"/>
        </w:rPr>
        <w:t xml:space="preserve">    </w:t>
      </w:r>
    </w:p>
    <w:p w:rsidR="00DB7FAC" w:rsidRDefault="005167BA" w:rsidP="005167BA">
      <w:pPr>
        <w:widowControl/>
        <w:rPr>
          <w:color w:val="000000"/>
        </w:rPr>
      </w:pPr>
      <w:r>
        <w:rPr>
          <w:color w:val="000000"/>
        </w:rPr>
        <w:t xml:space="preserve">    </w:t>
      </w:r>
      <w:r w:rsidR="00DB7FAC">
        <w:rPr>
          <w:color w:val="000000"/>
        </w:rPr>
        <w:t xml:space="preserve">Calculate the breaking stress </w:t>
      </w:r>
      <w:r w:rsidR="00DB7FAC">
        <w:rPr>
          <w:rFonts w:ascii="Symbol" w:hAnsi="Symbol" w:cs="Symbol"/>
          <w:color w:val="000000"/>
        </w:rPr>
        <w:t></w:t>
      </w:r>
      <w:r w:rsidR="00DB7FAC">
        <w:rPr>
          <w:rFonts w:ascii="Symbol" w:hAnsi="Symbol" w:cs="Symbol"/>
          <w:color w:val="000000"/>
        </w:rPr>
        <w:t></w:t>
      </w:r>
      <w:r w:rsidR="00DB7FAC">
        <w:rPr>
          <w:color w:val="000000"/>
        </w:rPr>
        <w:t xml:space="preserve">and the breaking strain </w:t>
      </w:r>
      <w:r w:rsidR="00DB7FAC">
        <w:rPr>
          <w:rFonts w:ascii="Symbol" w:hAnsi="Symbol" w:cs="Symbol"/>
          <w:color w:val="000000"/>
        </w:rPr>
        <w:t></w:t>
      </w:r>
      <w:r w:rsidR="00DB7FAC">
        <w:rPr>
          <w:rFonts w:ascii="Symbol" w:hAnsi="Symbol" w:cs="Symbol"/>
          <w:color w:val="000000"/>
        </w:rPr>
        <w:t></w:t>
      </w:r>
      <w:r w:rsidR="00DB7FAC">
        <w:rPr>
          <w:color w:val="000000"/>
        </w:rPr>
        <w:t xml:space="preserve"> with uncertainty estimates.</w:t>
      </w:r>
    </w:p>
    <w:p w:rsidR="005167BA" w:rsidRDefault="005167BA" w:rsidP="005167BA">
      <w:pPr>
        <w:widowControl/>
        <w:tabs>
          <w:tab w:val="left" w:pos="360"/>
        </w:tabs>
        <w:rPr>
          <w:color w:val="000000"/>
        </w:rPr>
      </w:pPr>
      <w:r w:rsidRPr="005167BA">
        <w:rPr>
          <w:szCs w:val="24"/>
        </w:rPr>
        <w:br/>
      </w:r>
      <w:r w:rsidR="00DB7FAC">
        <w:rPr>
          <w:color w:val="000000"/>
        </w:rPr>
        <w:t>3.</w:t>
      </w:r>
      <w:r w:rsidR="00DB7FAC">
        <w:rPr>
          <w:color w:val="000000"/>
        </w:rPr>
        <w:tab/>
        <w:t xml:space="preserve">In measuring the resistivity </w:t>
      </w:r>
      <w:r w:rsidR="00DB7FAC">
        <w:rPr>
          <w:rFonts w:ascii="Symbol" w:hAnsi="Symbol" w:cs="Symbol"/>
          <w:color w:val="000000"/>
        </w:rPr>
        <w:t></w:t>
      </w:r>
      <w:r w:rsidR="00DB7FAC">
        <w:rPr>
          <w:rFonts w:ascii="Symbol" w:hAnsi="Symbol" w:cs="Symbol"/>
          <w:color w:val="000000"/>
        </w:rPr>
        <w:t></w:t>
      </w:r>
      <w:r w:rsidR="00DB7FAC">
        <w:rPr>
          <w:color w:val="000000"/>
        </w:rPr>
        <w:t xml:space="preserve">of a doped semiconductor chip, the following measurements were taken. The current </w:t>
      </w:r>
    </w:p>
    <w:p w:rsidR="00DB7FAC" w:rsidRPr="005167BA" w:rsidRDefault="005167BA" w:rsidP="005167BA">
      <w:pPr>
        <w:widowControl/>
        <w:tabs>
          <w:tab w:val="left" w:pos="360"/>
        </w:tabs>
        <w:rPr>
          <w:sz w:val="24"/>
          <w:szCs w:val="24"/>
        </w:rPr>
      </w:pPr>
      <w:r>
        <w:rPr>
          <w:color w:val="000000"/>
        </w:rPr>
        <w:t xml:space="preserve">    </w:t>
      </w:r>
      <w:r w:rsidR="00DB7FAC">
        <w:rPr>
          <w:color w:val="000000"/>
        </w:rPr>
        <w:t>was passed through the chip parallel to its length dimension.</w:t>
      </w:r>
    </w:p>
    <w:p w:rsidR="005167BA" w:rsidRPr="005167BA" w:rsidRDefault="005167BA" w:rsidP="005167BA">
      <w:pPr>
        <w:widowControl/>
        <w:tabs>
          <w:tab w:val="left" w:pos="360"/>
        </w:tabs>
        <w:ind w:left="360"/>
        <w:rPr>
          <w:i/>
          <w:iCs/>
          <w:color w:val="000000"/>
          <w:sz w:val="16"/>
        </w:rPr>
      </w:pPr>
    </w:p>
    <w:p w:rsidR="00DB7FAC" w:rsidRDefault="00DB7FAC" w:rsidP="005167BA">
      <w:pPr>
        <w:widowControl/>
        <w:tabs>
          <w:tab w:val="left" w:pos="360"/>
        </w:tabs>
        <w:ind w:left="360"/>
        <w:rPr>
          <w:color w:val="000000"/>
        </w:rPr>
      </w:pPr>
      <w:r>
        <w:rPr>
          <w:i/>
          <w:iCs/>
          <w:color w:val="000000"/>
        </w:rPr>
        <w:t xml:space="preserve">V </w:t>
      </w:r>
      <w:r w:rsidR="005167BA">
        <w:rPr>
          <w:color w:val="000000"/>
        </w:rPr>
        <w:t xml:space="preserve">= 2.40 ± 0.01 V     </w:t>
      </w:r>
      <w:r>
        <w:rPr>
          <w:rFonts w:ascii="Times New Roman" w:hAnsi="Times New Roman" w:cs="Times New Roman"/>
          <w:i/>
          <w:iCs/>
          <w:color w:val="000000"/>
          <w:sz w:val="22"/>
          <w:szCs w:val="22"/>
        </w:rPr>
        <w:t xml:space="preserve">I </w:t>
      </w:r>
      <w:r w:rsidR="005167BA">
        <w:rPr>
          <w:color w:val="000000"/>
        </w:rPr>
        <w:t xml:space="preserve">= 40.0 ± 0.1 mA     width = 5.10 ± 0.01 mm    </w:t>
      </w:r>
      <w:r>
        <w:rPr>
          <w:color w:val="000000"/>
        </w:rPr>
        <w:t>thickness = 1.05 ± 0.01 mm</w:t>
      </w:r>
    </w:p>
    <w:p w:rsidR="00DB7FAC" w:rsidRDefault="00DB7FAC" w:rsidP="005167BA">
      <w:pPr>
        <w:widowControl/>
        <w:tabs>
          <w:tab w:val="left" w:pos="360"/>
        </w:tabs>
        <w:ind w:left="360"/>
        <w:rPr>
          <w:color w:val="000000"/>
        </w:rPr>
      </w:pPr>
      <w:r>
        <w:rPr>
          <w:color w:val="000000"/>
        </w:rPr>
        <w:t>length = 10.20 ± 0.01 mm</w:t>
      </w:r>
    </w:p>
    <w:p w:rsidR="005167BA" w:rsidRPr="005167BA" w:rsidRDefault="005167BA" w:rsidP="005167BA">
      <w:pPr>
        <w:widowControl/>
        <w:tabs>
          <w:tab w:val="left" w:pos="360"/>
        </w:tabs>
        <w:ind w:left="360"/>
        <w:rPr>
          <w:color w:val="000000"/>
          <w:sz w:val="16"/>
        </w:rPr>
      </w:pPr>
    </w:p>
    <w:p w:rsidR="00DB7FAC" w:rsidRDefault="00DB7FAC" w:rsidP="005167BA">
      <w:pPr>
        <w:widowControl/>
        <w:tabs>
          <w:tab w:val="left" w:pos="360"/>
        </w:tabs>
        <w:ind w:left="360"/>
        <w:rPr>
          <w:color w:val="000000"/>
        </w:rPr>
      </w:pPr>
      <w:r>
        <w:rPr>
          <w:color w:val="000000"/>
        </w:rPr>
        <w:t>Calculate the resistivity of the doped semi-conducting material with an uncertainty estimate.</w:t>
      </w:r>
    </w:p>
    <w:p w:rsidR="005167BA" w:rsidRDefault="005167BA" w:rsidP="005167BA">
      <w:pPr>
        <w:widowControl/>
        <w:ind w:firstLine="426"/>
        <w:rPr>
          <w:color w:val="000000"/>
        </w:rPr>
      </w:pPr>
      <w:r w:rsidRPr="005167BA">
        <w:rPr>
          <w:szCs w:val="24"/>
        </w:rPr>
        <w:br/>
      </w:r>
      <w:r>
        <w:rPr>
          <w:color w:val="000000"/>
        </w:rPr>
        <w:t xml:space="preserve">4.   </w:t>
      </w:r>
      <w:r w:rsidR="00DB7FAC">
        <w:rPr>
          <w:color w:val="000000"/>
        </w:rPr>
        <w:t xml:space="preserve">In measuring the electrical conductivity </w:t>
      </w:r>
      <w:r w:rsidR="00DB7FAC">
        <w:rPr>
          <w:rFonts w:ascii="Symbol" w:hAnsi="Symbol" w:cs="Symbol"/>
          <w:color w:val="000000"/>
        </w:rPr>
        <w:t></w:t>
      </w:r>
      <w:r w:rsidR="00DB7FAC">
        <w:rPr>
          <w:rFonts w:ascii="Symbol" w:hAnsi="Symbol" w:cs="Symbol"/>
          <w:color w:val="000000"/>
        </w:rPr>
        <w:t></w:t>
      </w:r>
      <w:r w:rsidR="00DB7FAC">
        <w:rPr>
          <w:color w:val="000000"/>
        </w:rPr>
        <w:t xml:space="preserve">of copper, the following measurements were taken on a very thin wire </w:t>
      </w:r>
      <w:r>
        <w:rPr>
          <w:color w:val="000000"/>
        </w:rPr>
        <w:t xml:space="preserve">   </w:t>
      </w:r>
    </w:p>
    <w:p w:rsidR="00DB7FAC" w:rsidRPr="005167BA" w:rsidRDefault="00DB7FAC" w:rsidP="005167BA">
      <w:pPr>
        <w:widowControl/>
        <w:ind w:firstLine="426"/>
        <w:rPr>
          <w:color w:val="000000"/>
        </w:rPr>
      </w:pPr>
      <w:r>
        <w:rPr>
          <w:color w:val="000000"/>
        </w:rPr>
        <w:t xml:space="preserve">specimen. </w:t>
      </w:r>
    </w:p>
    <w:p w:rsidR="005167BA" w:rsidRPr="005167BA" w:rsidRDefault="005167BA" w:rsidP="005167BA">
      <w:pPr>
        <w:widowControl/>
        <w:tabs>
          <w:tab w:val="left" w:pos="360"/>
        </w:tabs>
        <w:ind w:firstLine="426"/>
        <w:rPr>
          <w:i/>
          <w:iCs/>
          <w:color w:val="000000"/>
          <w:sz w:val="16"/>
        </w:rPr>
      </w:pPr>
    </w:p>
    <w:p w:rsidR="00DB7FAC" w:rsidRDefault="00DB7FAC" w:rsidP="005167BA">
      <w:pPr>
        <w:widowControl/>
        <w:tabs>
          <w:tab w:val="left" w:pos="360"/>
        </w:tabs>
        <w:ind w:firstLine="426"/>
        <w:rPr>
          <w:color w:val="000000"/>
        </w:rPr>
      </w:pPr>
      <w:r>
        <w:rPr>
          <w:i/>
          <w:iCs/>
          <w:color w:val="000000"/>
        </w:rPr>
        <w:t xml:space="preserve">V </w:t>
      </w:r>
      <w:r w:rsidR="005167BA">
        <w:rPr>
          <w:color w:val="000000"/>
        </w:rPr>
        <w:t xml:space="preserve">= 0.500 ± 0.001 V      </w:t>
      </w:r>
      <w:r>
        <w:rPr>
          <w:rFonts w:ascii="Times New Roman" w:hAnsi="Times New Roman" w:cs="Times New Roman"/>
          <w:i/>
          <w:iCs/>
          <w:color w:val="000000"/>
          <w:sz w:val="22"/>
          <w:szCs w:val="22"/>
        </w:rPr>
        <w:t xml:space="preserve">I </w:t>
      </w:r>
      <w:r w:rsidR="005167BA">
        <w:rPr>
          <w:color w:val="000000"/>
        </w:rPr>
        <w:t xml:space="preserve">= 0.146 ± 0.001 A      </w:t>
      </w:r>
      <w:r>
        <w:rPr>
          <w:i/>
          <w:iCs/>
          <w:color w:val="000000"/>
        </w:rPr>
        <w:t xml:space="preserve">d </w:t>
      </w:r>
      <w:r w:rsidR="005167BA">
        <w:rPr>
          <w:color w:val="000000"/>
        </w:rPr>
        <w:t xml:space="preserve">= 0.16 ± 0.01 mm    </w:t>
      </w:r>
      <w:r>
        <w:rPr>
          <w:i/>
          <w:iCs/>
          <w:color w:val="000000"/>
        </w:rPr>
        <w:t xml:space="preserve">L </w:t>
      </w:r>
      <w:r>
        <w:rPr>
          <w:color w:val="000000"/>
        </w:rPr>
        <w:t>= 4.00 ± 0.01 m</w:t>
      </w:r>
    </w:p>
    <w:p w:rsidR="005167BA" w:rsidRPr="005167BA" w:rsidRDefault="005167BA" w:rsidP="005167BA">
      <w:pPr>
        <w:widowControl/>
        <w:tabs>
          <w:tab w:val="left" w:pos="360"/>
        </w:tabs>
        <w:ind w:firstLine="426"/>
        <w:rPr>
          <w:color w:val="000000"/>
          <w:sz w:val="16"/>
        </w:rPr>
      </w:pPr>
    </w:p>
    <w:p w:rsidR="00DB7FAC" w:rsidRDefault="00DB7FAC" w:rsidP="005167BA">
      <w:pPr>
        <w:widowControl/>
        <w:tabs>
          <w:tab w:val="left" w:pos="360"/>
        </w:tabs>
        <w:ind w:firstLine="426"/>
        <w:rPr>
          <w:color w:val="000000"/>
        </w:rPr>
      </w:pPr>
      <w:r>
        <w:rPr>
          <w:color w:val="000000"/>
        </w:rPr>
        <w:t>Calculate the conductivity of the copper with an uncertainty estimate.</w:t>
      </w:r>
    </w:p>
    <w:p w:rsidR="005167BA" w:rsidRDefault="005167BA" w:rsidP="005167BA">
      <w:pPr>
        <w:widowControl/>
        <w:tabs>
          <w:tab w:val="left" w:pos="360"/>
        </w:tabs>
        <w:rPr>
          <w:color w:val="000000"/>
        </w:rPr>
      </w:pPr>
      <w:r>
        <w:rPr>
          <w:sz w:val="24"/>
          <w:szCs w:val="24"/>
        </w:rPr>
        <w:br/>
      </w:r>
      <w:r>
        <w:rPr>
          <w:sz w:val="24"/>
          <w:szCs w:val="24"/>
        </w:rPr>
        <w:br/>
      </w:r>
      <w:r w:rsidR="00DB7FAC">
        <w:rPr>
          <w:color w:val="000000"/>
        </w:rPr>
        <w:t>5.</w:t>
      </w:r>
      <w:r w:rsidR="00DB7FAC">
        <w:rPr>
          <w:color w:val="000000"/>
        </w:rPr>
        <w:tab/>
        <w:t xml:space="preserve">Satisfy yourself by a simple arithmetic check that an uncertainty of ± 4% in a measured resistivity of a material </w:t>
      </w:r>
    </w:p>
    <w:p w:rsidR="00DB7FAC" w:rsidRDefault="005167BA" w:rsidP="005167BA">
      <w:pPr>
        <w:widowControl/>
        <w:tabs>
          <w:tab w:val="left" w:pos="360"/>
        </w:tabs>
        <w:rPr>
          <w:sz w:val="24"/>
          <w:szCs w:val="24"/>
        </w:rPr>
      </w:pPr>
      <w:r>
        <w:rPr>
          <w:color w:val="000000"/>
        </w:rPr>
        <w:tab/>
      </w:r>
      <w:r w:rsidR="00DB7FAC">
        <w:rPr>
          <w:color w:val="000000"/>
        </w:rPr>
        <w:t>gives about the same % uncertainty in the value of the co</w:t>
      </w:r>
      <w:r>
        <w:rPr>
          <w:color w:val="000000"/>
        </w:rPr>
        <w:t>nductivity of the same material</w:t>
      </w:r>
      <w:r>
        <w:rPr>
          <w:sz w:val="24"/>
          <w:szCs w:val="24"/>
        </w:rPr>
        <w:t>.</w:t>
      </w:r>
      <w:r w:rsidR="00630CCE">
        <w:rPr>
          <w:noProof/>
          <w:sz w:val="24"/>
          <w:szCs w:val="24"/>
        </w:rPr>
        <w:drawing>
          <wp:inline distT="0" distB="0" distL="0" distR="0">
            <wp:extent cx="200025" cy="142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sectPr w:rsidR="00DB7FAC" w:rsidSect="00630CCE">
      <w:pgSz w:w="11906" w:h="16838" w:code="9"/>
      <w:pgMar w:top="851" w:right="851" w:bottom="851" w:left="851"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57C6" w:rsidRDefault="004357C6">
      <w:r>
        <w:separator/>
      </w:r>
    </w:p>
  </w:endnote>
  <w:endnote w:type="continuationSeparator" w:id="0">
    <w:p w:rsidR="004357C6" w:rsidRDefault="00435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57C6" w:rsidRDefault="004357C6">
      <w:r>
        <w:separator/>
      </w:r>
    </w:p>
  </w:footnote>
  <w:footnote w:type="continuationSeparator" w:id="0">
    <w:p w:rsidR="004357C6" w:rsidRDefault="004357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09660056"/>
    <w:lvl w:ilvl="0">
      <w:start w:val="1"/>
      <w:numFmt w:val="decimal"/>
      <w:lvlText w:val="%1."/>
      <w:lvlJc w:val="left"/>
      <w:pPr>
        <w:tabs>
          <w:tab w:val="num" w:pos="360"/>
        </w:tabs>
        <w:ind w:left="360" w:hanging="360"/>
      </w:pPr>
      <w:rPr>
        <w:rFonts w:cs="Times New Roman"/>
      </w:rPr>
    </w:lvl>
  </w:abstractNum>
  <w:abstractNum w:abstractNumId="1" w15:restartNumberingAfterBreak="0">
    <w:nsid w:val="FFFFFF89"/>
    <w:multiLevelType w:val="singleLevel"/>
    <w:tmpl w:val="95660EEA"/>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7BA"/>
    <w:rsid w:val="004357C6"/>
    <w:rsid w:val="005167BA"/>
    <w:rsid w:val="00630CCE"/>
    <w:rsid w:val="00DB7F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4C059DE"/>
  <w14:defaultImageDpi w14:val="0"/>
  <w15:docId w15:val="{47C96672-CFCF-44AC-A409-7F7B9D555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4">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oa heading" w:semiHidden="1" w:unhideWhenUsed="1"/>
    <w:lsdException w:name="List Bullet" w:semiHidden="1"/>
    <w:lsdException w:name="List Number" w:semiHidden="1"/>
    <w:lsdException w:name="List 2" w:semiHidden="1" w:unhideWhenUsed="1"/>
    <w:lsdException w:name="Title" w:uiPriority="10" w:qFormat="1"/>
    <w:lsdException w:name="Default Paragraph Font" w:semiHidden="1" w:uiPriority="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widowControl w:val="0"/>
      <w:autoSpaceDE w:val="0"/>
      <w:autoSpaceDN w:val="0"/>
      <w:adjustRightInd w:val="0"/>
      <w:spacing w:after="0" w:line="240" w:lineRule="auto"/>
    </w:pPr>
    <w:rPr>
      <w:rFonts w:ascii="Arial"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Chapter">
    <w:name w:val="Chapter"/>
    <w:uiPriority w:val="99"/>
    <w:pPr>
      <w:widowControl w:val="0"/>
      <w:pBdr>
        <w:top w:val="single" w:sz="12" w:space="2" w:color="000080"/>
        <w:left w:val="single" w:sz="12" w:space="2" w:color="000080"/>
        <w:bottom w:val="single" w:sz="12" w:space="2" w:color="000080"/>
        <w:right w:val="single" w:sz="12" w:space="2" w:color="000080"/>
      </w:pBdr>
      <w:shd w:val="solid" w:color="C0C0C0" w:fill="auto"/>
      <w:autoSpaceDE w:val="0"/>
      <w:autoSpaceDN w:val="0"/>
      <w:adjustRightInd w:val="0"/>
      <w:spacing w:after="160" w:line="240" w:lineRule="auto"/>
      <w:jc w:val="center"/>
    </w:pPr>
    <w:rPr>
      <w:rFonts w:ascii="Arial" w:hAnsi="Arial" w:cs="Arial"/>
      <w:b/>
      <w:bCs/>
      <w:color w:val="000080"/>
      <w:sz w:val="44"/>
      <w:szCs w:val="44"/>
    </w:rPr>
  </w:style>
  <w:style w:type="paragraph" w:customStyle="1" w:styleId="Strand">
    <w:name w:val="Strand"/>
    <w:uiPriority w:val="99"/>
    <w:pPr>
      <w:widowControl w:val="0"/>
      <w:autoSpaceDE w:val="0"/>
      <w:autoSpaceDN w:val="0"/>
      <w:adjustRightInd w:val="0"/>
      <w:spacing w:before="200" w:after="240" w:line="240" w:lineRule="auto"/>
      <w:jc w:val="both"/>
    </w:pPr>
    <w:rPr>
      <w:rFonts w:ascii="Arial" w:hAnsi="Arial" w:cs="Arial"/>
      <w:b/>
      <w:bCs/>
      <w:color w:val="000080"/>
      <w:sz w:val="52"/>
      <w:szCs w:val="52"/>
    </w:rPr>
  </w:style>
  <w:style w:type="paragraph" w:customStyle="1" w:styleId="Letter">
    <w:name w:val="Letter"/>
    <w:uiPriority w:val="99"/>
    <w:pPr>
      <w:widowControl w:val="0"/>
      <w:autoSpaceDE w:val="0"/>
      <w:autoSpaceDN w:val="0"/>
      <w:adjustRightInd w:val="0"/>
      <w:spacing w:after="160" w:line="240" w:lineRule="auto"/>
      <w:jc w:val="both"/>
    </w:pPr>
    <w:rPr>
      <w:rFonts w:ascii="Arial" w:hAnsi="Arial" w:cs="Arial"/>
      <w:color w:val="000080"/>
      <w:sz w:val="40"/>
      <w:szCs w:val="40"/>
    </w:rPr>
  </w:style>
  <w:style w:type="paragraph" w:customStyle="1" w:styleId="Type">
    <w:name w:val="Type"/>
    <w:uiPriority w:val="99"/>
    <w:pPr>
      <w:widowControl w:val="0"/>
      <w:autoSpaceDE w:val="0"/>
      <w:autoSpaceDN w:val="0"/>
      <w:adjustRightInd w:val="0"/>
      <w:spacing w:after="0" w:line="240" w:lineRule="auto"/>
      <w:jc w:val="both"/>
    </w:pPr>
    <w:rPr>
      <w:rFonts w:ascii="Arial" w:hAnsi="Arial" w:cs="Arial"/>
      <w:b/>
      <w:bCs/>
      <w:vanish/>
      <w:color w:val="FF00FF"/>
      <w:sz w:val="2"/>
      <w:szCs w:val="2"/>
    </w:rPr>
  </w:style>
  <w:style w:type="paragraph" w:customStyle="1" w:styleId="TGHeading">
    <w:name w:val="TG Heading"/>
    <w:uiPriority w:val="99"/>
    <w:pPr>
      <w:widowControl w:val="0"/>
      <w:autoSpaceDE w:val="0"/>
      <w:autoSpaceDN w:val="0"/>
      <w:adjustRightInd w:val="0"/>
      <w:spacing w:after="120" w:line="240" w:lineRule="auto"/>
      <w:jc w:val="both"/>
    </w:pPr>
    <w:rPr>
      <w:rFonts w:ascii="Arial" w:hAnsi="Arial" w:cs="Arial"/>
      <w:b/>
      <w:bCs/>
      <w:color w:val="000080"/>
      <w:sz w:val="36"/>
      <w:szCs w:val="36"/>
    </w:rPr>
  </w:style>
  <w:style w:type="paragraph" w:customStyle="1" w:styleId="Sub-Type">
    <w:name w:val="Sub-Type"/>
    <w:uiPriority w:val="99"/>
    <w:pPr>
      <w:widowControl w:val="0"/>
      <w:autoSpaceDE w:val="0"/>
      <w:autoSpaceDN w:val="0"/>
      <w:adjustRightInd w:val="0"/>
      <w:spacing w:after="0" w:line="240" w:lineRule="auto"/>
      <w:jc w:val="both"/>
    </w:pPr>
    <w:rPr>
      <w:rFonts w:ascii="Arial" w:hAnsi="Arial" w:cs="Arial"/>
      <w:b/>
      <w:bCs/>
      <w:vanish/>
      <w:color w:val="FF00FF"/>
      <w:sz w:val="2"/>
      <w:szCs w:val="2"/>
    </w:rPr>
  </w:style>
  <w:style w:type="paragraph" w:customStyle="1" w:styleId="Item">
    <w:name w:val="Item"/>
    <w:uiPriority w:val="99"/>
    <w:pPr>
      <w:widowControl w:val="0"/>
      <w:autoSpaceDE w:val="0"/>
      <w:autoSpaceDN w:val="0"/>
      <w:adjustRightInd w:val="0"/>
      <w:spacing w:before="72" w:after="0" w:line="240" w:lineRule="auto"/>
    </w:pPr>
    <w:rPr>
      <w:rFonts w:ascii="Arial" w:hAnsi="Arial" w:cs="Arial"/>
      <w:b/>
      <w:bCs/>
      <w:color w:val="000080"/>
      <w:sz w:val="28"/>
      <w:szCs w:val="28"/>
    </w:rPr>
  </w:style>
  <w:style w:type="paragraph" w:customStyle="1" w:styleId="Fields">
    <w:name w:val="Fields"/>
    <w:uiPriority w:val="99"/>
    <w:pPr>
      <w:widowControl w:val="0"/>
      <w:autoSpaceDE w:val="0"/>
      <w:autoSpaceDN w:val="0"/>
      <w:adjustRightInd w:val="0"/>
      <w:spacing w:after="0" w:line="240" w:lineRule="auto"/>
    </w:pPr>
    <w:rPr>
      <w:rFonts w:ascii="Arial" w:hAnsi="Arial" w:cs="Arial"/>
      <w:vanish/>
      <w:color w:val="800080"/>
      <w:sz w:val="2"/>
      <w:szCs w:val="2"/>
    </w:rPr>
  </w:style>
  <w:style w:type="paragraph" w:customStyle="1" w:styleId="Filename">
    <w:name w:val="Filename"/>
    <w:uiPriority w:val="99"/>
    <w:pPr>
      <w:widowControl w:val="0"/>
      <w:autoSpaceDE w:val="0"/>
      <w:autoSpaceDN w:val="0"/>
      <w:adjustRightInd w:val="0"/>
      <w:spacing w:after="0" w:line="250" w:lineRule="auto"/>
    </w:pPr>
    <w:rPr>
      <w:rFonts w:ascii="Arial" w:hAnsi="Arial" w:cs="Arial"/>
      <w:b/>
      <w:bCs/>
      <w:vanish/>
      <w:color w:val="000000"/>
      <w:sz w:val="20"/>
      <w:szCs w:val="20"/>
    </w:rPr>
  </w:style>
  <w:style w:type="paragraph" w:customStyle="1" w:styleId="ItemBreak">
    <w:name w:val="Item Break"/>
    <w:uiPriority w:val="99"/>
    <w:pPr>
      <w:widowControl w:val="0"/>
      <w:pBdr>
        <w:top w:val="single" w:sz="18" w:space="0" w:color="000080"/>
        <w:left w:val="single" w:sz="6" w:space="0" w:color="FFFFFF"/>
        <w:bottom w:val="single" w:sz="6" w:space="0" w:color="FFFFFF"/>
        <w:right w:val="single" w:sz="6" w:space="0" w:color="FFFFFF"/>
      </w:pBdr>
      <w:autoSpaceDE w:val="0"/>
      <w:autoSpaceDN w:val="0"/>
      <w:adjustRightInd w:val="0"/>
      <w:spacing w:after="0" w:line="251" w:lineRule="auto"/>
      <w:jc w:val="center"/>
    </w:pPr>
    <w:rPr>
      <w:rFonts w:ascii="Arial" w:hAnsi="Arial" w:cs="Arial"/>
      <w:color w:val="000000"/>
      <w:sz w:val="20"/>
      <w:szCs w:val="20"/>
    </w:rPr>
  </w:style>
  <w:style w:type="paragraph" w:styleId="ListBullet">
    <w:name w:val="List Bullet"/>
    <w:basedOn w:val="Normal"/>
    <w:uiPriority w:val="99"/>
    <w:pPr>
      <w:tabs>
        <w:tab w:val="left" w:pos="360"/>
      </w:tabs>
      <w:ind w:left="360" w:hanging="360"/>
    </w:pPr>
  </w:style>
  <w:style w:type="paragraph" w:styleId="ListNumber">
    <w:name w:val="List Number"/>
    <w:basedOn w:val="Normal"/>
    <w:uiPriority w:val="99"/>
    <w:pPr>
      <w:tabs>
        <w:tab w:val="left" w:pos="360"/>
      </w:tabs>
      <w:ind w:left="360" w:hanging="360"/>
    </w:pPr>
  </w:style>
  <w:style w:type="paragraph" w:customStyle="1" w:styleId="Parahead">
    <w:name w:val="Parahead"/>
    <w:uiPriority w:val="99"/>
    <w:pPr>
      <w:keepNext/>
      <w:widowControl w:val="0"/>
      <w:autoSpaceDE w:val="0"/>
      <w:autoSpaceDN w:val="0"/>
      <w:adjustRightInd w:val="0"/>
      <w:spacing w:before="144" w:after="0" w:line="240" w:lineRule="auto"/>
    </w:pPr>
    <w:rPr>
      <w:rFonts w:ascii="Arial" w:hAnsi="Arial" w:cs="Arial"/>
      <w:b/>
      <w:bCs/>
      <w:color w:val="000000"/>
      <w:sz w:val="20"/>
      <w:szCs w:val="20"/>
    </w:rPr>
  </w:style>
  <w:style w:type="paragraph" w:styleId="Quote">
    <w:name w:val="Quote"/>
    <w:basedOn w:val="Normal"/>
    <w:next w:val="Normal"/>
    <w:link w:val="QuoteChar"/>
    <w:uiPriority w:val="99"/>
    <w:qFormat/>
    <w:pPr>
      <w:ind w:left="360"/>
    </w:pPr>
    <w:rPr>
      <w:i/>
      <w:iCs/>
      <w:color w:val="000000"/>
    </w:rPr>
  </w:style>
  <w:style w:type="character" w:customStyle="1" w:styleId="QuoteChar">
    <w:name w:val="Quote Char"/>
    <w:basedOn w:val="DefaultParagraphFont"/>
    <w:link w:val="Quote"/>
    <w:uiPriority w:val="29"/>
    <w:locked/>
    <w:rPr>
      <w:rFonts w:ascii="Arial" w:hAnsi="Arial" w:cs="Arial"/>
      <w:i/>
      <w:iCs/>
      <w:color w:val="000000" w:themeColor="text1"/>
      <w:sz w:val="20"/>
      <w:szCs w:val="20"/>
    </w:rPr>
  </w:style>
  <w:style w:type="paragraph" w:customStyle="1" w:styleId="Tableheader">
    <w:name w:val="Table header"/>
    <w:uiPriority w:val="99"/>
    <w:pPr>
      <w:widowControl w:val="0"/>
      <w:autoSpaceDE w:val="0"/>
      <w:autoSpaceDN w:val="0"/>
      <w:adjustRightInd w:val="0"/>
      <w:spacing w:after="0" w:line="240" w:lineRule="auto"/>
    </w:pPr>
    <w:rPr>
      <w:rFonts w:ascii="Arial" w:hAnsi="Arial" w:cs="Arial"/>
      <w:b/>
      <w:bCs/>
      <w:color w:val="000080"/>
      <w:sz w:val="20"/>
      <w:szCs w:val="20"/>
    </w:rPr>
  </w:style>
  <w:style w:type="paragraph" w:customStyle="1" w:styleId="TableText">
    <w:name w:val="Table Text"/>
    <w:uiPriority w:val="99"/>
    <w:pPr>
      <w:widowControl w:val="0"/>
      <w:autoSpaceDE w:val="0"/>
      <w:autoSpaceDN w:val="0"/>
      <w:adjustRightInd w:val="0"/>
      <w:spacing w:after="0" w:line="240" w:lineRule="auto"/>
    </w:pPr>
    <w:rPr>
      <w:rFonts w:ascii="Times New Roman" w:hAnsi="Times New Roman"/>
      <w:color w:val="000000"/>
      <w:sz w:val="24"/>
      <w:szCs w:val="24"/>
    </w:rPr>
  </w:style>
  <w:style w:type="paragraph" w:customStyle="1" w:styleId="TeachersLinks">
    <w:name w:val="Teachers Links"/>
    <w:uiPriority w:val="99"/>
    <w:pPr>
      <w:keepNext/>
      <w:widowControl w:val="0"/>
      <w:autoSpaceDE w:val="0"/>
      <w:autoSpaceDN w:val="0"/>
      <w:adjustRightInd w:val="0"/>
      <w:spacing w:before="144" w:after="360" w:line="240" w:lineRule="auto"/>
      <w:jc w:val="right"/>
    </w:pPr>
    <w:rPr>
      <w:rFonts w:ascii="Arial" w:hAnsi="Arial" w:cs="Arial"/>
      <w:color w:val="FF0000"/>
      <w:sz w:val="20"/>
      <w:szCs w:val="20"/>
    </w:rPr>
  </w:style>
  <w:style w:type="paragraph" w:customStyle="1" w:styleId="TechnicalCode">
    <w:name w:val="Technical Code"/>
    <w:uiPriority w:val="99"/>
    <w:pPr>
      <w:widowControl w:val="0"/>
      <w:autoSpaceDE w:val="0"/>
      <w:autoSpaceDN w:val="0"/>
      <w:adjustRightInd w:val="0"/>
      <w:spacing w:after="0" w:line="240" w:lineRule="auto"/>
      <w:jc w:val="right"/>
    </w:pPr>
    <w:rPr>
      <w:rFonts w:ascii="Arial" w:hAnsi="Arial" w:cs="Arial"/>
      <w:color w:val="000000"/>
      <w:sz w:val="20"/>
      <w:szCs w:val="20"/>
    </w:rPr>
  </w:style>
  <w:style w:type="paragraph" w:customStyle="1" w:styleId="TGSubheading">
    <w:name w:val="TG Subheading"/>
    <w:uiPriority w:val="99"/>
    <w:pPr>
      <w:widowControl w:val="0"/>
      <w:tabs>
        <w:tab w:val="left" w:pos="360"/>
      </w:tabs>
      <w:autoSpaceDE w:val="0"/>
      <w:autoSpaceDN w:val="0"/>
      <w:adjustRightInd w:val="0"/>
      <w:spacing w:after="0" w:line="240" w:lineRule="auto"/>
    </w:pPr>
    <w:rPr>
      <w:rFonts w:ascii="Arial" w:hAnsi="Arial" w:cs="Arial"/>
      <w:b/>
      <w:bCs/>
      <w:color w:val="000080"/>
      <w:sz w:val="24"/>
      <w:szCs w:val="24"/>
    </w:rPr>
  </w:style>
  <w:style w:type="character" w:customStyle="1" w:styleId="bold">
    <w:name w:val="bold"/>
    <w:uiPriority w:val="99"/>
    <w:rPr>
      <w:b/>
      <w:color w:val="000000"/>
    </w:rPr>
  </w:style>
  <w:style w:type="character" w:customStyle="1" w:styleId="italic">
    <w:name w:val="italic"/>
    <w:uiPriority w:val="99"/>
    <w:rPr>
      <w:i/>
      <w:color w:val="000000"/>
    </w:rPr>
  </w:style>
  <w:style w:type="character" w:customStyle="1" w:styleId="superscript">
    <w:name w:val="superscript"/>
    <w:uiPriority w:val="99"/>
    <w:rPr>
      <w:i/>
      <w:color w:val="000000"/>
      <w:position w:val="6"/>
      <w:sz w:val="16"/>
    </w:rPr>
  </w:style>
  <w:style w:type="character" w:customStyle="1" w:styleId="Sup-term">
    <w:name w:val="Sup-term"/>
    <w:uiPriority w:val="99"/>
    <w:rPr>
      <w:b/>
      <w:color w:val="000080"/>
      <w:sz w:val="20"/>
    </w:rPr>
  </w:style>
  <w:style w:type="character" w:customStyle="1" w:styleId="MyHighlighter">
    <w:name w:val="My Highlighter"/>
    <w:uiPriority w:val="99"/>
    <w:rPr>
      <w:shd w:val="clear" w:color="000000" w:fill="FFFF00"/>
    </w:rPr>
  </w:style>
  <w:style w:type="character" w:customStyle="1" w:styleId="Activities">
    <w:name w:val="Activities"/>
    <w:uiPriority w:val="99"/>
  </w:style>
  <w:style w:type="character" w:customStyle="1" w:styleId="A-ZofKeyTerms">
    <w:name w:val="A - Z of Key Terms"/>
    <w:uiPriority w:val="99"/>
  </w:style>
  <w:style w:type="character" w:customStyle="1" w:styleId="Chapter1">
    <w:name w:val="Chapter1"/>
    <w:uiPriority w:val="99"/>
  </w:style>
  <w:style w:type="character" w:customStyle="1" w:styleId="ComputerFiles">
    <w:name w:val="Computer Files"/>
    <w:uiPriority w:val="99"/>
    <w:rPr>
      <w:b/>
      <w:color w:val="000080"/>
      <w:sz w:val="28"/>
    </w:rPr>
  </w:style>
  <w:style w:type="character" w:customStyle="1" w:styleId="DisplayMaterials">
    <w:name w:val="Display Materials"/>
    <w:uiPriority w:val="99"/>
  </w:style>
  <w:style w:type="character" w:customStyle="1" w:styleId="FileCode">
    <w:name w:val="File Code"/>
    <w:uiPriority w:val="99"/>
  </w:style>
  <w:style w:type="character" w:customStyle="1" w:styleId="Files">
    <w:name w:val="Files"/>
    <w:uiPriority w:val="99"/>
  </w:style>
  <w:style w:type="character" w:customStyle="1" w:styleId="KeyTerms">
    <w:name w:val="Key Terms"/>
    <w:uiPriority w:val="99"/>
    <w:rPr>
      <w:color w:val="FF00FF"/>
    </w:rPr>
  </w:style>
  <w:style w:type="character" w:customStyle="1" w:styleId="KeyTermsA-Z">
    <w:name w:val="Key Terms A-Z"/>
    <w:uiPriority w:val="99"/>
  </w:style>
  <w:style w:type="character" w:customStyle="1" w:styleId="Level">
    <w:name w:val="Level"/>
    <w:uiPriority w:val="99"/>
  </w:style>
  <w:style w:type="character" w:customStyle="1" w:styleId="MoretoRead">
    <w:name w:val="More to Read"/>
    <w:uiPriority w:val="99"/>
    <w:rPr>
      <w:b/>
      <w:color w:val="000080"/>
      <w:sz w:val="28"/>
    </w:rPr>
  </w:style>
  <w:style w:type="character" w:customStyle="1" w:styleId="MoretoSee">
    <w:name w:val="More to See"/>
    <w:uiPriority w:val="99"/>
    <w:rPr>
      <w:b/>
      <w:color w:val="000080"/>
      <w:sz w:val="28"/>
    </w:rPr>
  </w:style>
  <w:style w:type="character" w:customStyle="1" w:styleId="Note">
    <w:name w:val="Note"/>
    <w:uiPriority w:val="99"/>
  </w:style>
  <w:style w:type="character" w:customStyle="1" w:styleId="Popup">
    <w:name w:val="Popup"/>
    <w:uiPriority w:val="99"/>
  </w:style>
  <w:style w:type="character" w:customStyle="1" w:styleId="QuestionLevel">
    <w:name w:val="Question Level"/>
    <w:uiPriority w:val="99"/>
  </w:style>
  <w:style w:type="character" w:customStyle="1" w:styleId="Questions">
    <w:name w:val="Questions"/>
    <w:uiPriority w:val="99"/>
  </w:style>
  <w:style w:type="character" w:customStyle="1" w:styleId="Readings">
    <w:name w:val="Readings"/>
    <w:uiPriority w:val="99"/>
    <w:rPr>
      <w:vanish/>
    </w:rPr>
  </w:style>
  <w:style w:type="character" w:customStyle="1" w:styleId="SupplementaryTerms">
    <w:name w:val="Supplementary Terms"/>
    <w:uiPriority w:val="99"/>
    <w:rPr>
      <w:color w:val="00FFFF"/>
    </w:rPr>
  </w:style>
  <w:style w:type="character" w:customStyle="1" w:styleId="SupplementaryTermsA-Z">
    <w:name w:val="Supplementary Terms A-Z"/>
    <w:uiPriority w:val="99"/>
    <w:rPr>
      <w:b/>
      <w:vanish/>
      <w:color w:val="00FFFF"/>
    </w:rPr>
  </w:style>
  <w:style w:type="character" w:customStyle="1" w:styleId="Type1">
    <w:name w:val="Type1"/>
    <w:uiPriority w:val="99"/>
  </w:style>
  <w:style w:type="paragraph" w:styleId="Header">
    <w:name w:val="header"/>
    <w:basedOn w:val="Normal"/>
    <w:link w:val="HeaderChar"/>
    <w:uiPriority w:val="99"/>
    <w:unhideWhenUsed/>
    <w:rsid w:val="005167BA"/>
    <w:pPr>
      <w:tabs>
        <w:tab w:val="center" w:pos="4513"/>
        <w:tab w:val="right" w:pos="9026"/>
      </w:tabs>
    </w:pPr>
  </w:style>
  <w:style w:type="character" w:customStyle="1" w:styleId="HeaderChar">
    <w:name w:val="Header Char"/>
    <w:basedOn w:val="DefaultParagraphFont"/>
    <w:link w:val="Header"/>
    <w:uiPriority w:val="99"/>
    <w:locked/>
    <w:rsid w:val="005167BA"/>
    <w:rPr>
      <w:rFonts w:ascii="Arial" w:hAnsi="Arial" w:cs="Arial"/>
      <w:sz w:val="20"/>
      <w:szCs w:val="20"/>
    </w:rPr>
  </w:style>
  <w:style w:type="paragraph" w:styleId="Footer">
    <w:name w:val="footer"/>
    <w:basedOn w:val="Normal"/>
    <w:link w:val="FooterChar"/>
    <w:uiPriority w:val="99"/>
    <w:unhideWhenUsed/>
    <w:rsid w:val="005167BA"/>
    <w:pPr>
      <w:tabs>
        <w:tab w:val="center" w:pos="4513"/>
        <w:tab w:val="right" w:pos="9026"/>
      </w:tabs>
    </w:pPr>
  </w:style>
  <w:style w:type="character" w:customStyle="1" w:styleId="FooterChar">
    <w:name w:val="Footer Char"/>
    <w:basedOn w:val="DefaultParagraphFont"/>
    <w:link w:val="Footer"/>
    <w:uiPriority w:val="99"/>
    <w:locked/>
    <w:rsid w:val="005167BA"/>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481</Words>
  <Characters>2746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Advancing Physics AS Teacher Edition</vt:lpstr>
    </vt:vector>
  </TitlesOfParts>
  <Company/>
  <LinksUpToDate>false</LinksUpToDate>
  <CharactersWithSpaces>3221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Advancing Physics AS Teacher Edition</dc:title>
  <dc:subject/>
  <dc:creator>The Institute of Physics</dc:creator>
  <cp:keywords/>
  <dc:description/>
  <cp:lastModifiedBy>Steve Althorpe</cp:lastModifiedBy>
  <cp:revision>2</cp:revision>
  <dcterms:created xsi:type="dcterms:W3CDTF">2017-03-29T17:25:00Z</dcterms:created>
  <dcterms:modified xsi:type="dcterms:W3CDTF">2017-03-29T17:25:00Z</dcterms:modified>
</cp:coreProperties>
</file>